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C7B" w:rsidRPr="00461C7B" w:rsidRDefault="00461C7B" w:rsidP="00461C7B">
      <w:pPr>
        <w:pStyle w:val="2"/>
        <w:spacing w:before="75" w:after="150" w:line="480" w:lineRule="atLeast"/>
        <w:jc w:val="center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461C7B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Что такое функциональная грамотность?</w:t>
      </w:r>
    </w:p>
    <w:p w:rsidR="00461C7B" w:rsidRPr="00461C7B" w:rsidRDefault="00461C7B" w:rsidP="00461C7B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E74C3C"/>
          <w:sz w:val="26"/>
          <w:szCs w:val="26"/>
          <w:lang w:eastAsia="ru-RU"/>
        </w:rPr>
      </w:pPr>
    </w:p>
    <w:p w:rsidR="00461C7B" w:rsidRPr="00461C7B" w:rsidRDefault="00461C7B" w:rsidP="00461C7B">
      <w:pPr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461C7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72392247" wp14:editId="67CEC8AC">
            <wp:extent cx="6491454" cy="4114800"/>
            <wp:effectExtent l="0" t="0" r="5080" b="0"/>
            <wp:docPr id="1" name="Рисунок 1" descr="https://ino.mgpu.ru/wp-content/uploads/2020/01/funkts-gramotnost-3Montazhnaya-oblas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o.mgpu.ru/wp-content/uploads/2020/01/funkts-gramotnost-3Montazhnaya-oblast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291" cy="414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C7B" w:rsidRDefault="00461C7B" w:rsidP="00461C7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6"/>
          <w:szCs w:val="26"/>
          <w:lang w:eastAsia="ru-RU"/>
        </w:rPr>
      </w:pPr>
    </w:p>
    <w:p w:rsidR="00461C7B" w:rsidRDefault="00461C7B" w:rsidP="00461C7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6"/>
          <w:szCs w:val="26"/>
          <w:lang w:eastAsia="ru-RU"/>
        </w:rPr>
      </w:pPr>
    </w:p>
    <w:p w:rsidR="00461C7B" w:rsidRDefault="00461C7B" w:rsidP="00461C7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6"/>
          <w:szCs w:val="26"/>
          <w:lang w:eastAsia="ru-RU"/>
        </w:rPr>
      </w:pPr>
    </w:p>
    <w:p w:rsidR="00461C7B" w:rsidRPr="00461C7B" w:rsidRDefault="00461C7B" w:rsidP="00461C7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6"/>
          <w:szCs w:val="26"/>
          <w:lang w:eastAsia="ru-RU"/>
        </w:rPr>
      </w:pPr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Сейчас в сфере образования функциональная грамотность становится одной из главных тем для обсуждения на всех уровнях: и в школах, и в Министерстве просвещения, и в Совете по науке и образованию. Почему же она становится такой важной?</w:t>
      </w:r>
    </w:p>
    <w:p w:rsidR="00461C7B" w:rsidRPr="00461C7B" w:rsidRDefault="00461C7B" w:rsidP="00461C7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6"/>
          <w:szCs w:val="26"/>
          <w:lang w:eastAsia="ru-RU"/>
        </w:rPr>
      </w:pPr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Современный мир стал гораздо сложнее, чем был двадцать, а тем более тридцать лет назад. Эти сложности требуют особого подхода в педагогике: это связано с появлением новых технологий, новых профессий, сфер экономики и с социально-психологическими изменениями самого человека. Окружающий мир больше не аналогово-текстологический, ему на смену пришел визуально-цифровой – и это требует расширения и переосмысления понятия «функциональная грамотность».</w:t>
      </w:r>
    </w:p>
    <w:p w:rsidR="00461C7B" w:rsidRPr="00461C7B" w:rsidRDefault="00461C7B" w:rsidP="00461C7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6"/>
          <w:szCs w:val="26"/>
          <w:lang w:eastAsia="ru-RU"/>
        </w:rPr>
      </w:pPr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 xml:space="preserve">Само понятие было впервые употреблено на Всемирном конгрессе министров просвещения в Тегеране в 1965 году, и тогда под функциональной грамотностью подразумевалась «совокупность умений читать и писать для использования в повседневной жизни и решения житейских проблем». Однако уже в 1978 ЮНЕСКО перерабатывает это понятие, дополняя его: «функционально грамотным считается только тот, кто может принимать участие во всех видах деятельности, в которых </w:t>
      </w:r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lastRenderedPageBreak/>
        <w:t>грамотность необходима для эффективного функционирования его группы и которые дают ему также возможность продолжать пользоваться чтением, письмом и счётом для своего собственного развития и для дальнейшего развития общины (со</w:t>
      </w:r>
      <w:r>
        <w:rPr>
          <w:rFonts w:ascii="Arial" w:eastAsia="Times New Roman" w:hAnsi="Arial" w:cs="Arial"/>
          <w:color w:val="555555"/>
          <w:sz w:val="26"/>
          <w:szCs w:val="26"/>
          <w:lang w:eastAsia="ru-RU"/>
        </w:rPr>
        <w:t>циального окружения)»</w:t>
      </w:r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.</w:t>
      </w:r>
    </w:p>
    <w:p w:rsidR="00461C7B" w:rsidRPr="00461C7B" w:rsidRDefault="00461C7B" w:rsidP="00461C7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6"/>
          <w:szCs w:val="26"/>
          <w:lang w:eastAsia="ru-RU"/>
        </w:rPr>
      </w:pPr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Ещё через двенадцать лет ЮНЕСКО проводит Международный год грамотности, а Организация Объединенных Наций объявила Десятилетие грамотности в самой широкой интерпретации данного понятия с 2002 по 2012 гг., в декларации этого всемирного события функциональная грамотность становится больше, чем просто базовая грамотность: теперь это «…полноценно и эффективно функционировать как члены сообщества, роди</w:t>
      </w:r>
      <w:r>
        <w:rPr>
          <w:rFonts w:ascii="Arial" w:eastAsia="Times New Roman" w:hAnsi="Arial" w:cs="Arial"/>
          <w:color w:val="555555"/>
          <w:sz w:val="26"/>
          <w:szCs w:val="26"/>
          <w:lang w:eastAsia="ru-RU"/>
        </w:rPr>
        <w:t>тели, граждане и работники».</w:t>
      </w:r>
    </w:p>
    <w:p w:rsidR="00461C7B" w:rsidRPr="00461C7B" w:rsidRDefault="00461C7B" w:rsidP="00461C7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6"/>
          <w:szCs w:val="26"/>
          <w:lang w:eastAsia="ru-RU"/>
        </w:rPr>
      </w:pPr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Однако революция в науке и технике внесла свои коррективы в развитие и функциональной грамотности, и самого понятия о ней. Многие ученые приводят все новые и новые формулировки, стараясь наиболее полно описать функциональную грамотность современного человека.</w:t>
      </w:r>
    </w:p>
    <w:p w:rsidR="00461C7B" w:rsidRPr="00461C7B" w:rsidRDefault="00461C7B" w:rsidP="00461C7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6"/>
          <w:szCs w:val="26"/>
          <w:lang w:eastAsia="ru-RU"/>
        </w:rPr>
      </w:pPr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На картинках представлены интегративные компоненты современной функциональной грамотности. И там, и там есть как одинаковые компоненты (например, коммуникативная, информационная грамотность), так и различающиеся сферы. Это очень хорошо отражает насколько одновременно сложной стала наша жизнь и сколько всего должен знать и уметь современный человек.</w:t>
      </w:r>
    </w:p>
    <w:p w:rsidR="00461C7B" w:rsidRPr="00461C7B" w:rsidRDefault="00461C7B" w:rsidP="00461C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461C7B">
        <w:rPr>
          <w:rFonts w:ascii="Arial" w:eastAsia="Times New Roman" w:hAnsi="Arial" w:cs="Arial"/>
          <w:noProof/>
          <w:color w:val="E74C3C"/>
          <w:sz w:val="26"/>
          <w:szCs w:val="26"/>
          <w:lang w:eastAsia="ru-RU"/>
        </w:rPr>
        <w:lastRenderedPageBreak/>
        <w:drawing>
          <wp:inline distT="0" distB="0" distL="0" distR="0" wp14:anchorId="0A6EDE58" wp14:editId="537F9476">
            <wp:extent cx="5981700" cy="5276850"/>
            <wp:effectExtent l="0" t="0" r="0" b="0"/>
            <wp:docPr id="2" name="Рисунок 2" descr="функциональная грамотность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ункциональная грамотность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C7B" w:rsidRPr="00461C7B" w:rsidRDefault="00461C7B" w:rsidP="00461C7B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461C7B">
        <w:rPr>
          <w:rFonts w:ascii="Arial" w:eastAsia="Times New Roman" w:hAnsi="Arial" w:cs="Arial"/>
          <w:noProof/>
          <w:color w:val="E74C3C"/>
          <w:sz w:val="26"/>
          <w:szCs w:val="26"/>
          <w:lang w:eastAsia="ru-RU"/>
        </w:rPr>
        <w:lastRenderedPageBreak/>
        <w:drawing>
          <wp:inline distT="0" distB="0" distL="0" distR="0" wp14:anchorId="5A548792" wp14:editId="0D7F2E01">
            <wp:extent cx="6515100" cy="5295900"/>
            <wp:effectExtent l="0" t="0" r="0" b="0"/>
            <wp:docPr id="3" name="Рисунок 3" descr="функциональная грамотность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ункциональная грамотность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C7B" w:rsidRPr="00461C7B" w:rsidRDefault="00461C7B" w:rsidP="00461C7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6"/>
          <w:szCs w:val="26"/>
          <w:lang w:eastAsia="ru-RU"/>
        </w:rPr>
      </w:pPr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Кстати, исследование Международной оценки образовательных достижений учащихся – PISA (</w:t>
      </w:r>
      <w:proofErr w:type="spellStart"/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Programme</w:t>
      </w:r>
      <w:proofErr w:type="spellEnd"/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 xml:space="preserve"> </w:t>
      </w:r>
      <w:proofErr w:type="spellStart"/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for</w:t>
      </w:r>
      <w:proofErr w:type="spellEnd"/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 xml:space="preserve"> </w:t>
      </w:r>
      <w:proofErr w:type="spellStart"/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International</w:t>
      </w:r>
      <w:proofErr w:type="spellEnd"/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 xml:space="preserve"> </w:t>
      </w:r>
      <w:proofErr w:type="spellStart"/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Student</w:t>
      </w:r>
      <w:proofErr w:type="spellEnd"/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 xml:space="preserve"> </w:t>
      </w:r>
      <w:proofErr w:type="spellStart"/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Assessment</w:t>
      </w:r>
      <w:proofErr w:type="spellEnd"/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) – в 2019 г. выявила, что за период с 2009 по 2018 гг. по читательской грамотности (важной части функциональной грамотности) сократилось различие в результатах юношей и девушек почти во всех странах. В шести из 64-х стран, в число которых вошла и Россия, в 2018 году результаты и юношей, и девушек повысились по сравнению с 2009 годом. При этом сократилось различие в результатах юношей и девушек на 20 баллов. Эта позитивная тенденция проявилась в улучшении уровня читательской гра</w:t>
      </w:r>
      <w:r>
        <w:rPr>
          <w:rFonts w:ascii="Arial" w:eastAsia="Times New Roman" w:hAnsi="Arial" w:cs="Arial"/>
          <w:color w:val="555555"/>
          <w:sz w:val="26"/>
          <w:szCs w:val="26"/>
          <w:lang w:eastAsia="ru-RU"/>
        </w:rPr>
        <w:t>мотности юношей на 25 баллов.</w:t>
      </w:r>
      <w:bookmarkStart w:id="0" w:name="_GoBack"/>
      <w:bookmarkEnd w:id="0"/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]</w:t>
      </w:r>
    </w:p>
    <w:p w:rsidR="00461C7B" w:rsidRPr="00461C7B" w:rsidRDefault="00461C7B" w:rsidP="00461C7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6"/>
          <w:szCs w:val="26"/>
          <w:lang w:eastAsia="ru-RU"/>
        </w:rPr>
      </w:pPr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Россия занимает в рейтинге PISA традиционные серединные места: 30-37 из 74, однако этого недостаточно, чтобы сделать научно-технологический прорыв. А для этого нужно не только изменить подход к обучению, но и подходы к самим ученикам.</w:t>
      </w:r>
    </w:p>
    <w:p w:rsidR="00461C7B" w:rsidRPr="00461C7B" w:rsidRDefault="00461C7B" w:rsidP="00461C7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6"/>
          <w:szCs w:val="26"/>
          <w:lang w:eastAsia="ru-RU"/>
        </w:rPr>
      </w:pPr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 xml:space="preserve">Для этого Министерством просвещения был разработан проект «Мониторинг формирования функциональной грамотности», однако по словам Ковалевой Галины Сергеевны, руководителя центра оценки качества образования Института содержания и методов обучения РАО, координатор PISA в </w:t>
      </w:r>
      <w:proofErr w:type="gramStart"/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 xml:space="preserve">России,  </w:t>
      </w:r>
      <w:proofErr w:type="spellStart"/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к.пед.н</w:t>
      </w:r>
      <w:proofErr w:type="spellEnd"/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.</w:t>
      </w:r>
      <w:proofErr w:type="gramEnd"/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 xml:space="preserve">, необходимо в первую очередь не слепо включать в учебный процесс «задания в </w:t>
      </w:r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lastRenderedPageBreak/>
        <w:t>формате международных исследований», а последовательно претворять в жизнь множество системных изменений:</w:t>
      </w:r>
    </w:p>
    <w:p w:rsidR="00461C7B" w:rsidRPr="00461C7B" w:rsidRDefault="00461C7B" w:rsidP="00461C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6"/>
          <w:szCs w:val="26"/>
          <w:lang w:eastAsia="ru-RU"/>
        </w:rPr>
      </w:pPr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работать на уроке с информацией, представленной в разной форме (рисунок, текст, таблица, диаграмма);</w:t>
      </w:r>
    </w:p>
    <w:p w:rsidR="00461C7B" w:rsidRPr="00461C7B" w:rsidRDefault="00461C7B" w:rsidP="00461C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6"/>
          <w:szCs w:val="26"/>
          <w:lang w:eastAsia="ru-RU"/>
        </w:rPr>
      </w:pPr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работать с реальными данными, величинами и единицами измерений;</w:t>
      </w:r>
    </w:p>
    <w:p w:rsidR="00461C7B" w:rsidRPr="00461C7B" w:rsidRDefault="00461C7B" w:rsidP="00461C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6"/>
          <w:szCs w:val="26"/>
          <w:lang w:eastAsia="ru-RU"/>
        </w:rPr>
      </w:pPr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поощрять проявление учащимися самостоятельности, использование учебного и жизненного опыта;</w:t>
      </w:r>
    </w:p>
    <w:p w:rsidR="00461C7B" w:rsidRPr="00461C7B" w:rsidRDefault="00461C7B" w:rsidP="00461C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6"/>
          <w:szCs w:val="26"/>
          <w:lang w:eastAsia="ru-RU"/>
        </w:rPr>
      </w:pPr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активно разрабатывать «PISA-подобные» задания и разворачивать </w:t>
      </w:r>
      <w:hyperlink r:id="rId10" w:history="1">
        <w:r w:rsidRPr="00461C7B">
          <w:rPr>
            <w:rFonts w:ascii="Arial" w:eastAsia="Times New Roman" w:hAnsi="Arial" w:cs="Arial"/>
            <w:b/>
            <w:bCs/>
            <w:color w:val="555555"/>
            <w:sz w:val="26"/>
            <w:szCs w:val="26"/>
            <w:lang w:eastAsia="ru-RU"/>
          </w:rPr>
          <w:t>программы повышения квалификации учителей</w:t>
        </w:r>
      </w:hyperlink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.</w:t>
      </w:r>
    </w:p>
    <w:p w:rsidR="00461C7B" w:rsidRPr="00461C7B" w:rsidRDefault="00461C7B" w:rsidP="00461C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6"/>
          <w:szCs w:val="26"/>
          <w:lang w:eastAsia="ru-RU"/>
        </w:rPr>
      </w:pPr>
      <w:r w:rsidRPr="00461C7B">
        <w:rPr>
          <w:rFonts w:ascii="Arial" w:eastAsia="Times New Roman" w:hAnsi="Arial" w:cs="Arial"/>
          <w:color w:val="555555"/>
          <w:sz w:val="26"/>
          <w:szCs w:val="26"/>
          <w:lang w:eastAsia="ru-RU"/>
        </w:rPr>
        <w:t>включать задачи по функциональной грамотности в каждый предмет и обыденный учебный процесс.</w:t>
      </w:r>
    </w:p>
    <w:p w:rsidR="00461C7B" w:rsidRPr="00461C7B" w:rsidRDefault="00461C7B" w:rsidP="00461C7B">
      <w:pPr>
        <w:spacing w:before="75" w:line="480" w:lineRule="atLeast"/>
        <w:outlineLvl w:val="1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261C09" w:rsidRDefault="00261C09"/>
    <w:sectPr w:rsidR="00261C09" w:rsidSect="00461C7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915513"/>
    <w:multiLevelType w:val="multilevel"/>
    <w:tmpl w:val="FEA2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CC810AB"/>
    <w:multiLevelType w:val="multilevel"/>
    <w:tmpl w:val="5C6C2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C7B"/>
    <w:rsid w:val="00261C09"/>
    <w:rsid w:val="0046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5E7AA"/>
  <w15:chartTrackingRefBased/>
  <w15:docId w15:val="{B77B3565-9209-471A-846A-C18A0B97B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1C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61C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875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8061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5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5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2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46068">
          <w:marLeft w:val="0"/>
          <w:marRight w:val="0"/>
          <w:marTop w:val="0"/>
          <w:marBottom w:val="0"/>
          <w:divBdr>
            <w:top w:val="single" w:sz="6" w:space="23" w:color="EEEEEE"/>
            <w:left w:val="none" w:sz="0" w:space="0" w:color="auto"/>
            <w:bottom w:val="single" w:sz="6" w:space="15" w:color="EEEEEE"/>
            <w:right w:val="none" w:sz="0" w:space="0" w:color="auto"/>
          </w:divBdr>
          <w:divsChild>
            <w:div w:id="91293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2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78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19742">
                  <w:marLeft w:val="14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6657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08199">
                  <w:marLeft w:val="14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964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3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64152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o.mgpu.ru/wp-content/uploads/2020/01/funkts-gramotnostMontazhnaya-oblast-1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o.mgpu.ru/wp-content/uploads/2020/01/funkts-gramotnost-2Montazhnaya-oblast-1.pn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ino.mgpu.ru/2020/05/26/formirovanie-osnov-funktsionalnoj-gramotnosti-obuchayushhihsya-nachalnoj-shkol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2021-10-12T17:19:00Z</dcterms:created>
  <dcterms:modified xsi:type="dcterms:W3CDTF">2021-10-12T17:25:00Z</dcterms:modified>
</cp:coreProperties>
</file>